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35B7A">
      <w:pPr>
        <w:jc w:val="center"/>
      </w:pPr>
      <w:bookmarkStart w:id="0" w:name="_GoBack"/>
      <w:bookmarkEnd w:id="0"/>
      <w:r>
        <w:t>NOTE COMPILAZIONE PFI</w:t>
      </w:r>
    </w:p>
    <w:p w:rsidR="00000000" w:rsidRDefault="00D35B7A">
      <w:pPr>
        <w:jc w:val="both"/>
      </w:pPr>
      <w:r>
        <w:t>Quadro inziale. (A) Il biennio è concepito come un unico periodo didattico. Alla fine del primo anno, infatti, non si ha uno scrutinio, ma un cdc che verifica l’andamento didattico sulla base del PFI e lo “rimodula” in caso di necessi</w:t>
      </w:r>
      <w:r>
        <w:t>tà (per esempio, cambio di indirizzo o suggerimento frequenza di Iefp). In casi rari, ma possibili, lo studente non è ammesso al secondo anno. Questa indicazione andrà posta nel quadro iniziale</w:t>
      </w:r>
      <w:r>
        <w:t xml:space="preserve"> (</w:t>
      </w:r>
      <w:r>
        <w:t xml:space="preserve">per individuare che si tratta di studente che ha ripetuto il </w:t>
      </w:r>
      <w:r>
        <w:t>primo periodo del biennio</w:t>
      </w:r>
      <w:r>
        <w:t>)</w:t>
      </w:r>
      <w:r>
        <w:t xml:space="preserve"> e si compila a giugno.</w:t>
      </w:r>
    </w:p>
    <w:p w:rsidR="00000000" w:rsidRDefault="00D35B7A">
      <w:pPr>
        <w:jc w:val="both"/>
      </w:pPr>
    </w:p>
    <w:p w:rsidR="00000000" w:rsidRDefault="00D35B7A">
      <w:pPr>
        <w:pStyle w:val="Paragrafoelenco"/>
        <w:numPr>
          <w:ilvl w:val="0"/>
          <w:numId w:val="1"/>
        </w:numPr>
        <w:jc w:val="both"/>
      </w:pPr>
      <w:r>
        <w:t>I dati qui riportati sono desunti dal bilancio iniziale e devono essere coerenti con quanto rilevato. Se occorre, utilizzare la riga accanto a ciascun elemento, per effettuare specificazioni</w:t>
      </w:r>
    </w:p>
    <w:p w:rsidR="00000000" w:rsidRDefault="00D35B7A">
      <w:pPr>
        <w:pStyle w:val="Paragrafoelenco"/>
        <w:numPr>
          <w:ilvl w:val="0"/>
          <w:numId w:val="1"/>
        </w:numPr>
        <w:jc w:val="both"/>
      </w:pPr>
      <w:r>
        <w:t xml:space="preserve">Non sempre lo </w:t>
      </w:r>
      <w:r>
        <w:t>studente è in grado di esplicitare questo aspetto. Occorre aiutarlo a riconoscere le proprie attitudini e il valore di ciò che impara in vari contesti, riportarlo nel PFI e valorizzarlo nelle UDA. Un quadro successivo consentirà di andare più nel dettaglio</w:t>
      </w:r>
    </w:p>
    <w:p w:rsidR="00000000" w:rsidRDefault="00D35B7A">
      <w:pPr>
        <w:pStyle w:val="Paragrafoelenco"/>
        <w:numPr>
          <w:ilvl w:val="0"/>
          <w:numId w:val="1"/>
        </w:numPr>
        <w:jc w:val="both"/>
      </w:pPr>
      <w:r>
        <w:t xml:space="preserve">Questa informazione perverrà dai dati rilevati dalla psicologa e pedagogista. </w:t>
      </w:r>
      <w:r>
        <w:t xml:space="preserve"> Quest’anno(2023-2024) non sarà possibile averla in tempo!</w:t>
      </w:r>
    </w:p>
    <w:p w:rsidR="00000000" w:rsidRDefault="00D35B7A">
      <w:pPr>
        <w:pStyle w:val="Paragrafoelenco"/>
        <w:numPr>
          <w:ilvl w:val="0"/>
          <w:numId w:val="1"/>
        </w:numPr>
        <w:jc w:val="both"/>
      </w:pPr>
      <w:r>
        <w:t>Dopo essersi accertati della presenza/mancanza di documentazione adeguata (segreteria didattica), trascrivere l’annota</w:t>
      </w:r>
      <w:r>
        <w:t xml:space="preserve">zione </w:t>
      </w:r>
    </w:p>
    <w:p w:rsidR="00000000" w:rsidRDefault="00D35B7A">
      <w:pPr>
        <w:pStyle w:val="Paragrafoelenco"/>
        <w:numPr>
          <w:ilvl w:val="0"/>
          <w:numId w:val="1"/>
        </w:numPr>
        <w:jc w:val="both"/>
      </w:pPr>
      <w:r>
        <w:t>Occorre condividere i risultati</w:t>
      </w:r>
      <w:r>
        <w:t xml:space="preserve"> su classroom  per facilitare la raccolta e avere un quadro generale utile al coordinatore per tracciare il profilo iniziale della classe</w:t>
      </w:r>
    </w:p>
    <w:p w:rsidR="00000000" w:rsidRDefault="00D35B7A">
      <w:pPr>
        <w:pStyle w:val="Paragrafoelenco"/>
        <w:numPr>
          <w:ilvl w:val="0"/>
          <w:numId w:val="1"/>
        </w:numPr>
        <w:jc w:val="both"/>
      </w:pPr>
      <w:r>
        <w:t>Indicare gli obiettivi prioritari, non tutti, in modo da focalizzare l’attenzion</w:t>
      </w:r>
      <w:r>
        <w:t>e sulle necessità principali</w:t>
      </w:r>
    </w:p>
    <w:p w:rsidR="00000000" w:rsidRDefault="00D35B7A">
      <w:pPr>
        <w:pStyle w:val="Paragrafoelenco"/>
        <w:numPr>
          <w:ilvl w:val="0"/>
          <w:numId w:val="1"/>
        </w:numPr>
        <w:jc w:val="both"/>
      </w:pPr>
      <w:r>
        <w:t>Spesso il cdc rileva difficoltà presenti in alunni che non hanno certificazione. Ciò può essere legato ad un rifiuto da parte dello studente di essere identificato come portatore di un Bisogno Educativo Speciale. Occorre indaga</w:t>
      </w:r>
      <w:r>
        <w:t xml:space="preserve">re con la Segreteria Didattica e da colloqui con la famiglia se  era stato redatto per lui apposto PDP nelle classi precedenti. In caso negativo, lo si può tutelare con le misure dispensative e gli strumenti compensativi ritenuti atti alla situazione, che </w:t>
      </w:r>
      <w:r>
        <w:t>devono essere presenti in un PDP specifico in attesa di certificazione</w:t>
      </w:r>
    </w:p>
    <w:p w:rsidR="00000000" w:rsidRDefault="00D35B7A">
      <w:pPr>
        <w:pStyle w:val="Paragrafoelenco"/>
        <w:numPr>
          <w:ilvl w:val="0"/>
          <w:numId w:val="1"/>
        </w:numPr>
        <w:jc w:val="both"/>
      </w:pPr>
      <w:r>
        <w:t>Questa è la parte più importante del PFI. Nel biennio  possono (non devono!) essere individuate fino a 264 ore di personalizzazione in tutto. La personalizzazione può avvenire o con att</w:t>
      </w:r>
      <w:r>
        <w:t>ività specifiche indirizzate al singolo alunno, anche con possibilità di fuoriuscita dalla classe con un piccolo gruppo, ma anche all’interno di attività svolte con gli altri. Per esempio un’UDA può essere svolta con metodologia di lavoro di gruppo e diffe</w:t>
      </w:r>
      <w:r>
        <w:t>renziarsi all’interno dell’aula o in escursioni didattiche con compiti differenziati, ecc.</w:t>
      </w:r>
    </w:p>
    <w:p w:rsidR="00000000" w:rsidRDefault="00D35B7A">
      <w:pPr>
        <w:pStyle w:val="Paragrafoelenco"/>
        <w:jc w:val="both"/>
      </w:pPr>
      <w:r>
        <w:rPr>
          <w:b/>
        </w:rPr>
        <w:t>N.B.</w:t>
      </w:r>
      <w:r>
        <w:t xml:space="preserve"> La personalizzazione si configura come una </w:t>
      </w:r>
      <w:r>
        <w:rPr>
          <w:b/>
        </w:rPr>
        <w:t xml:space="preserve">proposta </w:t>
      </w:r>
      <w:r>
        <w:t>della Scuola, indipendentemente dalla sua realizzazione</w:t>
      </w:r>
      <w:r>
        <w:t>, che può essere legata a fattori non sempre prevedib</w:t>
      </w:r>
      <w:r>
        <w:t>ili</w:t>
      </w:r>
      <w:r>
        <w:t xml:space="preserve">  </w:t>
      </w:r>
    </w:p>
    <w:tbl>
      <w:tblPr>
        <w:tblStyle w:val="Grigliatabella1"/>
        <w:tblW w:w="0" w:type="auto"/>
        <w:tblInd w:w="0" w:type="dxa"/>
        <w:tblCellMar>
          <w:top w:w="15" w:type="dxa"/>
          <w:left w:w="15" w:type="dxa"/>
          <w:bottom w:w="15" w:type="dxa"/>
          <w:right w:w="15" w:type="dxa"/>
        </w:tblCellMar>
        <w:tblLook w:val="0000" w:firstRow="0" w:lastRow="0" w:firstColumn="0" w:lastColumn="0" w:noHBand="0" w:noVBand="0"/>
      </w:tblPr>
      <w:tblGrid>
        <w:gridCol w:w="4545"/>
        <w:gridCol w:w="4545"/>
      </w:tblGrid>
      <w:tr w:rsidR="00000000">
        <w:tc>
          <w:tcPr>
            <w:tcW w:w="4545" w:type="dxa"/>
            <w:tcBorders>
              <w:top w:val="outset" w:sz="6" w:space="0" w:color="auto"/>
              <w:left w:val="outset" w:sz="6" w:space="0" w:color="auto"/>
              <w:bottom w:val="outset" w:sz="6" w:space="0" w:color="auto"/>
              <w:right w:val="outset" w:sz="6" w:space="0" w:color="auto"/>
            </w:tcBorders>
          </w:tcPr>
          <w:p w:rsidR="00000000" w:rsidRDefault="00D35B7A">
            <w:pPr>
              <w:pStyle w:val="Normale1"/>
              <w:rPr>
                <w:rFonts w:cs="Calibri"/>
                <w:b/>
                <w:color w:val="000000"/>
              </w:rPr>
            </w:pPr>
          </w:p>
          <w:p w:rsidR="00000000" w:rsidRDefault="00D35B7A">
            <w:pPr>
              <w:pStyle w:val="Normale1"/>
              <w:rPr>
                <w:rFonts w:cs="Calibri"/>
                <w:b/>
                <w:color w:val="000000"/>
              </w:rPr>
            </w:pPr>
            <w:r>
              <w:rPr>
                <w:rFonts w:cs="Calibri"/>
                <w:b/>
                <w:color w:val="000000"/>
              </w:rPr>
              <w:t>Accoglienza</w:t>
            </w:r>
          </w:p>
          <w:p w:rsidR="00000000" w:rsidRDefault="00D35B7A">
            <w:pPr>
              <w:pStyle w:val="Normale1"/>
              <w:rPr>
                <w:rFonts w:cs="Calibri"/>
                <w:b/>
                <w:color w:val="000000"/>
              </w:rPr>
            </w:pPr>
          </w:p>
        </w:tc>
        <w:tc>
          <w:tcPr>
            <w:tcW w:w="4545" w:type="dxa"/>
            <w:tcBorders>
              <w:top w:val="outset" w:sz="6" w:space="0" w:color="auto"/>
              <w:left w:val="outset" w:sz="6" w:space="0" w:color="auto"/>
              <w:bottom w:val="outset" w:sz="6" w:space="0" w:color="auto"/>
              <w:right w:val="outset" w:sz="6" w:space="0" w:color="auto"/>
            </w:tcBorders>
          </w:tcPr>
          <w:p w:rsidR="00000000" w:rsidRDefault="00D35B7A">
            <w:pPr>
              <w:pStyle w:val="Normale1"/>
              <w:rPr>
                <w:rFonts w:cs="Calibri"/>
                <w:color w:val="000000"/>
              </w:rPr>
            </w:pPr>
            <w:r>
              <w:rPr>
                <w:rFonts w:cs="Calibri"/>
                <w:color w:val="000000"/>
              </w:rPr>
              <w:t>Si svolge all’inizio del primo anno (classi prime o primo anno di ingresso a scuola dello studente) da parte del tutor, attraverso un’accurata intervista svolta ad individuare le caratteristiche dell’allievo e a valorizzarne le peculiar</w:t>
            </w:r>
            <w:r>
              <w:rPr>
                <w:rFonts w:cs="Calibri"/>
                <w:color w:val="000000"/>
              </w:rPr>
              <w:t xml:space="preserve">ità. </w:t>
            </w:r>
            <w:r>
              <w:rPr>
                <w:rFonts w:cs="Calibri"/>
                <w:b/>
                <w:color w:val="000000"/>
              </w:rPr>
              <w:t>Occupa circa un’ora</w:t>
            </w:r>
          </w:p>
          <w:p w:rsidR="00000000" w:rsidRDefault="00D35B7A">
            <w:pPr>
              <w:pStyle w:val="Normale1"/>
              <w:rPr>
                <w:rFonts w:cs="Calibri"/>
                <w:color w:val="000000"/>
              </w:rPr>
            </w:pPr>
            <w:r>
              <w:rPr>
                <w:rFonts w:cs="Calibri"/>
                <w:color w:val="000000"/>
              </w:rPr>
              <w:t xml:space="preserve">In questa tipologia di intervento possono essere inseriti ulteriori colloqui di approfondimento svolti in varie situazioni </w:t>
            </w:r>
            <w:r>
              <w:rPr>
                <w:rFonts w:cs="Calibri"/>
                <w:b/>
                <w:color w:val="000000"/>
              </w:rPr>
              <w:t>(Una due ore in tutto l’anno)</w:t>
            </w:r>
          </w:p>
        </w:tc>
      </w:tr>
      <w:tr w:rsidR="00000000">
        <w:tc>
          <w:tcPr>
            <w:tcW w:w="4545" w:type="dxa"/>
            <w:tcBorders>
              <w:top w:val="nil"/>
              <w:left w:val="outset" w:sz="6" w:space="0" w:color="auto"/>
              <w:bottom w:val="outset" w:sz="6" w:space="0" w:color="auto"/>
              <w:right w:val="outset" w:sz="6" w:space="0" w:color="auto"/>
            </w:tcBorders>
          </w:tcPr>
          <w:p w:rsidR="00000000" w:rsidRDefault="00D35B7A">
            <w:pPr>
              <w:pStyle w:val="Normale1"/>
              <w:rPr>
                <w:rFonts w:cs="Calibri"/>
                <w:b/>
                <w:color w:val="000000"/>
              </w:rPr>
            </w:pPr>
          </w:p>
          <w:p w:rsidR="00000000" w:rsidRDefault="00D35B7A">
            <w:pPr>
              <w:pStyle w:val="Normale1"/>
              <w:rPr>
                <w:rFonts w:cs="Calibri"/>
                <w:b/>
                <w:color w:val="000000"/>
              </w:rPr>
            </w:pPr>
            <w:r>
              <w:rPr>
                <w:rFonts w:cs="Calibri"/>
                <w:b/>
                <w:color w:val="000000"/>
              </w:rPr>
              <w:t>Attività di recupero</w:t>
            </w:r>
          </w:p>
          <w:p w:rsidR="00000000" w:rsidRDefault="00D35B7A">
            <w:pPr>
              <w:pStyle w:val="Normale1"/>
              <w:rPr>
                <w:rFonts w:cs="Calibri"/>
                <w:b/>
                <w:color w:val="000000"/>
              </w:rPr>
            </w:pPr>
          </w:p>
        </w:tc>
        <w:tc>
          <w:tcPr>
            <w:tcW w:w="4545" w:type="dxa"/>
            <w:tcBorders>
              <w:top w:val="nil"/>
              <w:left w:val="outset" w:sz="6" w:space="0" w:color="auto"/>
              <w:bottom w:val="outset" w:sz="6" w:space="0" w:color="auto"/>
              <w:right w:val="outset" w:sz="6" w:space="0" w:color="auto"/>
            </w:tcBorders>
          </w:tcPr>
          <w:p w:rsidR="00000000" w:rsidRDefault="00D35B7A">
            <w:pPr>
              <w:pStyle w:val="Normale1"/>
              <w:rPr>
                <w:rFonts w:eastAsia="Calibri"/>
                <w:sz w:val="22"/>
                <w:szCs w:val="22"/>
                <w:lang w:eastAsia="en-US"/>
              </w:rPr>
            </w:pPr>
            <w:r>
              <w:rPr>
                <w:rFonts w:eastAsia="Calibri"/>
                <w:sz w:val="22"/>
                <w:szCs w:val="22"/>
                <w:lang w:eastAsia="en-US"/>
              </w:rPr>
              <w:t xml:space="preserve"> </w:t>
            </w:r>
            <w:r>
              <w:rPr>
                <w:rFonts w:eastAsia="Calibri"/>
                <w:sz w:val="22"/>
                <w:szCs w:val="22"/>
                <w:lang w:eastAsia="en-US"/>
              </w:rPr>
              <w:t xml:space="preserve">Ex </w:t>
            </w:r>
            <w:r>
              <w:rPr>
                <w:rFonts w:eastAsia="Calibri"/>
                <w:sz w:val="22"/>
                <w:szCs w:val="22"/>
                <w:lang w:eastAsia="en-US"/>
              </w:rPr>
              <w:t xml:space="preserve">Iscol@  Italiano     </w:t>
            </w:r>
            <w:r>
              <w:rPr>
                <w:rFonts w:eastAsia="Calibri"/>
                <w:b/>
                <w:sz w:val="22"/>
                <w:szCs w:val="22"/>
                <w:lang w:eastAsia="en-US"/>
              </w:rPr>
              <w:t>(fino a 6 ore)</w:t>
            </w:r>
          </w:p>
          <w:p w:rsidR="00000000" w:rsidRDefault="00D35B7A">
            <w:pPr>
              <w:pStyle w:val="Normale1"/>
              <w:rPr>
                <w:rFonts w:eastAsia="Calibri"/>
                <w:b/>
                <w:sz w:val="22"/>
                <w:szCs w:val="22"/>
                <w:lang w:eastAsia="en-US"/>
              </w:rPr>
            </w:pPr>
            <w:r>
              <w:rPr>
                <w:rFonts w:eastAsia="Calibri"/>
                <w:sz w:val="22"/>
                <w:szCs w:val="22"/>
                <w:lang w:eastAsia="en-US"/>
              </w:rPr>
              <w:t xml:space="preserve">Ex </w:t>
            </w:r>
            <w:r>
              <w:rPr>
                <w:rFonts w:eastAsia="Calibri"/>
                <w:sz w:val="22"/>
                <w:szCs w:val="22"/>
                <w:lang w:eastAsia="en-US"/>
              </w:rPr>
              <w:t>Iscol@  Mat</w:t>
            </w:r>
            <w:r>
              <w:rPr>
                <w:rFonts w:eastAsia="Calibri"/>
                <w:sz w:val="22"/>
                <w:szCs w:val="22"/>
                <w:lang w:eastAsia="en-US"/>
              </w:rPr>
              <w:t xml:space="preserve">ematica </w:t>
            </w:r>
            <w:r>
              <w:rPr>
                <w:rFonts w:eastAsia="Calibri"/>
                <w:b/>
                <w:sz w:val="22"/>
                <w:szCs w:val="22"/>
                <w:lang w:eastAsia="en-US"/>
              </w:rPr>
              <w:t>(fino a 6 ore)</w:t>
            </w:r>
          </w:p>
          <w:p w:rsidR="00000000" w:rsidRDefault="00D35B7A">
            <w:pPr>
              <w:pStyle w:val="Normale1"/>
              <w:rPr>
                <w:rFonts w:eastAsia="Calibri"/>
                <w:sz w:val="22"/>
                <w:szCs w:val="22"/>
                <w:lang w:eastAsia="en-US"/>
              </w:rPr>
            </w:pPr>
            <w:r>
              <w:rPr>
                <w:rFonts w:eastAsia="Calibri"/>
                <w:sz w:val="22"/>
                <w:szCs w:val="22"/>
                <w:lang w:eastAsia="en-US"/>
              </w:rPr>
              <w:t>P</w:t>
            </w:r>
            <w:r>
              <w:rPr>
                <w:rFonts w:eastAsia="Calibri"/>
                <w:sz w:val="22"/>
                <w:szCs w:val="22"/>
                <w:lang w:eastAsia="en-US"/>
              </w:rPr>
              <w:t>ercorsi di potenziamento delle competenze di base, di motivazione e accompagnamento</w:t>
            </w:r>
            <w:r>
              <w:rPr>
                <w:rFonts w:eastAsia="Calibri"/>
                <w:sz w:val="22"/>
                <w:szCs w:val="22"/>
                <w:lang w:eastAsia="en-US"/>
              </w:rPr>
              <w:t xml:space="preserve"> in Italiano, Matematica, Inglese</w:t>
            </w:r>
            <w:r>
              <w:rPr>
                <w:rFonts w:eastAsia="Calibri"/>
                <w:sz w:val="22"/>
                <w:szCs w:val="22"/>
                <w:lang w:eastAsia="en-US"/>
              </w:rPr>
              <w:t xml:space="preserve"> (10 ore),</w:t>
            </w:r>
            <w:r>
              <w:rPr>
                <w:rFonts w:eastAsia="Calibri"/>
                <w:sz w:val="22"/>
                <w:szCs w:val="22"/>
                <w:lang w:eastAsia="en-US"/>
              </w:rPr>
              <w:t> </w:t>
            </w:r>
            <w:r>
              <w:rPr>
                <w:rFonts w:eastAsia="Calibri"/>
                <w:sz w:val="22"/>
                <w:szCs w:val="22"/>
                <w:lang w:eastAsia="en-US"/>
              </w:rPr>
              <w:t xml:space="preserve"> </w:t>
            </w:r>
          </w:p>
          <w:p w:rsidR="00000000" w:rsidRDefault="00D35B7A">
            <w:pPr>
              <w:pStyle w:val="Normale1"/>
              <w:rPr>
                <w:rFonts w:eastAsia="Calibri"/>
                <w:sz w:val="22"/>
                <w:szCs w:val="22"/>
                <w:lang w:eastAsia="en-US"/>
              </w:rPr>
            </w:pPr>
            <w:r>
              <w:rPr>
                <w:rFonts w:eastAsia="Calibri"/>
                <w:sz w:val="22"/>
                <w:szCs w:val="22"/>
                <w:lang w:eastAsia="en-US"/>
              </w:rPr>
              <w:t>Gruppo di livello nella trattazione delle UDA (nel lavoro di gruppo il compito è semplificato</w:t>
            </w:r>
          </w:p>
          <w:p w:rsidR="00000000" w:rsidRDefault="00D35B7A">
            <w:pPr>
              <w:pStyle w:val="Normale1"/>
              <w:rPr>
                <w:rFonts w:eastAsia="Calibri"/>
                <w:sz w:val="22"/>
                <w:szCs w:val="22"/>
                <w:lang w:eastAsia="en-US"/>
              </w:rPr>
            </w:pPr>
            <w:r>
              <w:rPr>
                <w:rFonts w:eastAsia="Calibri"/>
                <w:sz w:val="22"/>
                <w:szCs w:val="22"/>
                <w:lang w:eastAsia="en-US"/>
              </w:rPr>
              <w:t>Peer educ</w:t>
            </w:r>
            <w:r>
              <w:rPr>
                <w:rFonts w:eastAsia="Calibri"/>
                <w:sz w:val="22"/>
                <w:szCs w:val="22"/>
                <w:lang w:eastAsia="en-US"/>
              </w:rPr>
              <w:t>ation (lo studente è aiutato da un compagno)</w:t>
            </w:r>
          </w:p>
          <w:p w:rsidR="00000000" w:rsidRDefault="00D35B7A">
            <w:pPr>
              <w:pStyle w:val="Normale1"/>
              <w:rPr>
                <w:rFonts w:eastAsia="Calibri"/>
                <w:sz w:val="22"/>
                <w:szCs w:val="22"/>
                <w:lang w:eastAsia="en-US"/>
              </w:rPr>
            </w:pPr>
            <w:r>
              <w:rPr>
                <w:rFonts w:eastAsia="Calibri"/>
                <w:sz w:val="22"/>
                <w:szCs w:val="22"/>
                <w:lang w:eastAsia="en-US"/>
              </w:rPr>
              <w:t>Pausa didattica con attività differenziate</w:t>
            </w:r>
          </w:p>
          <w:p w:rsidR="00000000" w:rsidRDefault="00D35B7A">
            <w:pPr>
              <w:pStyle w:val="Normale1"/>
              <w:rPr>
                <w:rFonts w:eastAsia="Calibri"/>
                <w:sz w:val="22"/>
                <w:szCs w:val="22"/>
                <w:lang w:eastAsia="en-US"/>
              </w:rPr>
            </w:pPr>
            <w:r>
              <w:rPr>
                <w:rFonts w:eastAsia="Calibri"/>
                <w:sz w:val="22"/>
                <w:szCs w:val="22"/>
                <w:lang w:eastAsia="en-US"/>
              </w:rPr>
              <w:t>Altro (indicare)</w:t>
            </w:r>
          </w:p>
          <w:p w:rsidR="00000000" w:rsidRDefault="00D35B7A">
            <w:pPr>
              <w:pStyle w:val="Normale1"/>
              <w:rPr>
                <w:rFonts w:eastAsia="Calibri"/>
                <w:sz w:val="22"/>
                <w:szCs w:val="22"/>
                <w:lang w:eastAsia="en-US"/>
              </w:rPr>
            </w:pPr>
          </w:p>
        </w:tc>
      </w:tr>
      <w:tr w:rsidR="00000000">
        <w:tc>
          <w:tcPr>
            <w:tcW w:w="4545" w:type="dxa"/>
            <w:tcBorders>
              <w:top w:val="nil"/>
              <w:left w:val="outset" w:sz="6" w:space="0" w:color="auto"/>
              <w:bottom w:val="outset" w:sz="6" w:space="0" w:color="auto"/>
              <w:right w:val="outset" w:sz="6" w:space="0" w:color="auto"/>
            </w:tcBorders>
          </w:tcPr>
          <w:p w:rsidR="00000000" w:rsidRDefault="00D35B7A">
            <w:pPr>
              <w:pStyle w:val="Normale1"/>
              <w:rPr>
                <w:rFonts w:cs="Calibri"/>
                <w:b/>
                <w:color w:val="000000"/>
              </w:rPr>
            </w:pPr>
          </w:p>
          <w:p w:rsidR="00000000" w:rsidRDefault="00D35B7A">
            <w:pPr>
              <w:pStyle w:val="Normale1"/>
              <w:rPr>
                <w:rFonts w:cs="Calibri"/>
                <w:b/>
                <w:color w:val="000000"/>
              </w:rPr>
            </w:pPr>
            <w:r>
              <w:rPr>
                <w:rFonts w:cs="Calibri"/>
                <w:b/>
                <w:color w:val="000000"/>
              </w:rPr>
              <w:t>Attività di potenziamento</w:t>
            </w:r>
          </w:p>
          <w:p w:rsidR="00000000" w:rsidRDefault="00D35B7A">
            <w:pPr>
              <w:pStyle w:val="Normale1"/>
              <w:rPr>
                <w:rFonts w:cs="Calibri"/>
                <w:color w:val="000000"/>
              </w:rPr>
            </w:pPr>
            <w:r>
              <w:rPr>
                <w:rFonts w:cs="Calibri"/>
                <w:color w:val="000000"/>
              </w:rPr>
              <w:t xml:space="preserve"> (spesso si tratta delle stesse attività indicate per altri studenti nel recupero. Poiché si svolgono in contemporanea, pe</w:t>
            </w:r>
            <w:r>
              <w:rPr>
                <w:rFonts w:cs="Calibri"/>
                <w:color w:val="000000"/>
              </w:rPr>
              <w:t>r esempio, mentre un gruppo svolge il recupero col docente Iscol</w:t>
            </w:r>
            <w:r>
              <w:rPr>
                <w:rFonts w:cs="Calibri"/>
              </w:rPr>
              <w:t>@, un gruppo sta col docente titolare e approfondisce)</w:t>
            </w:r>
          </w:p>
          <w:p w:rsidR="00000000" w:rsidRDefault="00D35B7A">
            <w:pPr>
              <w:pStyle w:val="Normale1"/>
              <w:rPr>
                <w:rFonts w:cs="Calibri"/>
                <w:b/>
                <w:color w:val="000000"/>
              </w:rPr>
            </w:pPr>
          </w:p>
        </w:tc>
        <w:tc>
          <w:tcPr>
            <w:tcW w:w="4545" w:type="dxa"/>
            <w:tcBorders>
              <w:top w:val="nil"/>
              <w:left w:val="outset" w:sz="6" w:space="0" w:color="auto"/>
              <w:bottom w:val="outset" w:sz="6" w:space="0" w:color="auto"/>
              <w:right w:val="outset" w:sz="6" w:space="0" w:color="auto"/>
            </w:tcBorders>
          </w:tcPr>
          <w:p w:rsidR="00000000" w:rsidRDefault="00D35B7A">
            <w:pPr>
              <w:pStyle w:val="Normale1"/>
              <w:rPr>
                <w:rFonts w:eastAsia="Calibri"/>
                <w:sz w:val="22"/>
                <w:szCs w:val="22"/>
                <w:lang w:eastAsia="en-US"/>
              </w:rPr>
            </w:pPr>
            <w:r>
              <w:rPr>
                <w:rFonts w:eastAsia="Calibri"/>
                <w:sz w:val="22"/>
                <w:szCs w:val="22"/>
                <w:lang w:eastAsia="en-US"/>
              </w:rPr>
              <w:t xml:space="preserve">Iscol@  Italiano    </w:t>
            </w:r>
            <w:r>
              <w:rPr>
                <w:rFonts w:eastAsia="Calibri"/>
                <w:b/>
                <w:sz w:val="22"/>
                <w:szCs w:val="22"/>
                <w:lang w:eastAsia="en-US"/>
              </w:rPr>
              <w:t xml:space="preserve"> (fino a 6 ore)</w:t>
            </w:r>
          </w:p>
          <w:p w:rsidR="00000000" w:rsidRDefault="00D35B7A">
            <w:pPr>
              <w:pStyle w:val="Normale1"/>
              <w:rPr>
                <w:rFonts w:eastAsia="Calibri"/>
                <w:sz w:val="22"/>
                <w:szCs w:val="22"/>
                <w:lang w:eastAsia="en-US"/>
              </w:rPr>
            </w:pPr>
            <w:r>
              <w:rPr>
                <w:rFonts w:eastAsia="Calibri"/>
                <w:sz w:val="22"/>
                <w:szCs w:val="22"/>
                <w:lang w:eastAsia="en-US"/>
              </w:rPr>
              <w:t xml:space="preserve">Iscol@  Matematica </w:t>
            </w:r>
            <w:r>
              <w:rPr>
                <w:rFonts w:eastAsia="Calibri"/>
                <w:b/>
                <w:sz w:val="22"/>
                <w:szCs w:val="22"/>
                <w:lang w:eastAsia="en-US"/>
              </w:rPr>
              <w:t>(fino a 6 ore)</w:t>
            </w:r>
          </w:p>
          <w:p w:rsidR="00000000" w:rsidRDefault="00D35B7A">
            <w:pPr>
              <w:pStyle w:val="Normale1"/>
              <w:rPr>
                <w:rFonts w:eastAsia="Calibri"/>
                <w:sz w:val="22"/>
                <w:szCs w:val="22"/>
                <w:lang w:eastAsia="en-US"/>
              </w:rPr>
            </w:pPr>
            <w:r>
              <w:rPr>
                <w:rFonts w:eastAsia="Calibri"/>
                <w:sz w:val="22"/>
                <w:szCs w:val="22"/>
                <w:lang w:eastAsia="en-US"/>
              </w:rPr>
              <w:t>Gruppo di livello nella trattazione delle UDA (nel lavoro di grupp</w:t>
            </w:r>
            <w:r>
              <w:rPr>
                <w:rFonts w:eastAsia="Calibri"/>
                <w:sz w:val="22"/>
                <w:szCs w:val="22"/>
                <w:lang w:eastAsia="en-US"/>
              </w:rPr>
              <w:t>o il compito è più complesso)</w:t>
            </w:r>
          </w:p>
          <w:p w:rsidR="00000000" w:rsidRDefault="00D35B7A">
            <w:pPr>
              <w:pStyle w:val="Normale1"/>
              <w:rPr>
                <w:rFonts w:eastAsia="Calibri"/>
                <w:sz w:val="22"/>
                <w:szCs w:val="22"/>
                <w:lang w:eastAsia="en-US"/>
              </w:rPr>
            </w:pPr>
            <w:r>
              <w:rPr>
                <w:rFonts w:eastAsia="Calibri"/>
                <w:sz w:val="22"/>
                <w:szCs w:val="22"/>
                <w:lang w:eastAsia="en-US"/>
              </w:rPr>
              <w:t>Peer education (lo studente aiuta  uno o più compagni)</w:t>
            </w:r>
          </w:p>
          <w:p w:rsidR="00000000" w:rsidRDefault="00D35B7A">
            <w:pPr>
              <w:pStyle w:val="Normale1"/>
              <w:rPr>
                <w:rFonts w:eastAsia="Calibri"/>
                <w:sz w:val="22"/>
                <w:szCs w:val="22"/>
                <w:lang w:eastAsia="en-US"/>
              </w:rPr>
            </w:pPr>
            <w:r>
              <w:rPr>
                <w:rFonts w:eastAsia="Calibri"/>
                <w:sz w:val="22"/>
                <w:szCs w:val="22"/>
                <w:lang w:eastAsia="en-US"/>
              </w:rPr>
              <w:t>Pausa didattica con attività differenziate</w:t>
            </w:r>
          </w:p>
          <w:p w:rsidR="00000000" w:rsidRDefault="00D35B7A">
            <w:pPr>
              <w:pStyle w:val="Normale1"/>
              <w:rPr>
                <w:rFonts w:eastAsia="Calibri"/>
                <w:sz w:val="22"/>
                <w:szCs w:val="22"/>
                <w:lang w:eastAsia="en-US"/>
              </w:rPr>
            </w:pPr>
            <w:r>
              <w:rPr>
                <w:rFonts w:eastAsia="Calibri"/>
                <w:sz w:val="22"/>
                <w:szCs w:val="22"/>
                <w:lang w:eastAsia="en-US"/>
              </w:rPr>
              <w:t>Altro (indicare)</w:t>
            </w:r>
          </w:p>
          <w:p w:rsidR="00000000" w:rsidRDefault="00D35B7A">
            <w:pPr>
              <w:pStyle w:val="Normale1"/>
              <w:rPr>
                <w:rFonts w:eastAsia="Calibri"/>
                <w:sz w:val="22"/>
                <w:szCs w:val="22"/>
                <w:lang w:eastAsia="en-US"/>
              </w:rPr>
            </w:pPr>
          </w:p>
          <w:p w:rsidR="00000000" w:rsidRDefault="00D35B7A">
            <w:pPr>
              <w:pStyle w:val="Normale1"/>
              <w:rPr>
                <w:rFonts w:eastAsia="Calibri"/>
                <w:sz w:val="22"/>
                <w:szCs w:val="22"/>
                <w:lang w:eastAsia="en-US"/>
              </w:rPr>
            </w:pPr>
          </w:p>
        </w:tc>
      </w:tr>
      <w:tr w:rsidR="00000000">
        <w:tc>
          <w:tcPr>
            <w:tcW w:w="4545" w:type="dxa"/>
            <w:tcBorders>
              <w:top w:val="nil"/>
              <w:left w:val="outset" w:sz="6" w:space="0" w:color="auto"/>
              <w:bottom w:val="outset" w:sz="6" w:space="0" w:color="auto"/>
              <w:right w:val="outset" w:sz="6" w:space="0" w:color="auto"/>
            </w:tcBorders>
          </w:tcPr>
          <w:p w:rsidR="00000000" w:rsidRDefault="00D35B7A">
            <w:pPr>
              <w:pStyle w:val="Normale1"/>
              <w:rPr>
                <w:rFonts w:cs="Calibri"/>
                <w:b/>
                <w:color w:val="000000"/>
              </w:rPr>
            </w:pPr>
          </w:p>
          <w:p w:rsidR="00000000" w:rsidRDefault="00D35B7A">
            <w:pPr>
              <w:pStyle w:val="Normale1"/>
              <w:rPr>
                <w:rFonts w:cs="Calibri"/>
                <w:b/>
                <w:color w:val="000000"/>
              </w:rPr>
            </w:pPr>
            <w:r>
              <w:rPr>
                <w:rFonts w:cs="Calibri"/>
                <w:b/>
                <w:color w:val="000000"/>
              </w:rPr>
              <w:t xml:space="preserve">Attività di sostegno alla realizzazione del progetto formativo individuale </w:t>
            </w:r>
          </w:p>
          <w:p w:rsidR="00000000" w:rsidRDefault="00D35B7A">
            <w:pPr>
              <w:pStyle w:val="Normale1"/>
              <w:rPr>
                <w:rFonts w:cs="Calibri"/>
                <w:color w:val="000000"/>
              </w:rPr>
            </w:pPr>
            <w:r>
              <w:rPr>
                <w:rFonts w:cs="Calibri"/>
                <w:color w:val="000000"/>
              </w:rPr>
              <w:t>(interventi di supporto al ragg</w:t>
            </w:r>
            <w:r>
              <w:rPr>
                <w:rFonts w:cs="Calibri"/>
                <w:color w:val="000000"/>
              </w:rPr>
              <w:t>iungimento degli obiettivi educativi o di apprendimento)</w:t>
            </w:r>
          </w:p>
          <w:p w:rsidR="00000000" w:rsidRDefault="00D35B7A">
            <w:pPr>
              <w:pStyle w:val="Normale1"/>
              <w:rPr>
                <w:rFonts w:cs="Calibri"/>
                <w:color w:val="000000"/>
              </w:rPr>
            </w:pPr>
          </w:p>
        </w:tc>
        <w:tc>
          <w:tcPr>
            <w:tcW w:w="4545" w:type="dxa"/>
            <w:tcBorders>
              <w:top w:val="nil"/>
              <w:left w:val="outset" w:sz="6" w:space="0" w:color="auto"/>
              <w:bottom w:val="outset" w:sz="6" w:space="0" w:color="auto"/>
              <w:right w:val="outset" w:sz="6" w:space="0" w:color="auto"/>
            </w:tcBorders>
          </w:tcPr>
          <w:p w:rsidR="00000000" w:rsidRDefault="00D35B7A">
            <w:pPr>
              <w:pStyle w:val="Normale1"/>
            </w:pPr>
            <w:r>
              <w:t>Studio assistito (di solito gestito dal docente di sostegno con un piccolo gruppo)</w:t>
            </w:r>
          </w:p>
          <w:p w:rsidR="00000000" w:rsidRDefault="00D35B7A">
            <w:pPr>
              <w:pStyle w:val="Normale1"/>
            </w:pPr>
            <w:r>
              <w:t>Intervento della Psicologa e/o pedagogista</w:t>
            </w:r>
          </w:p>
          <w:p w:rsidR="00000000" w:rsidRDefault="00D35B7A">
            <w:pPr>
              <w:pStyle w:val="Normale1"/>
            </w:pPr>
            <w:r>
              <w:t>Progetti del PTOF per particolari situazioni (progetti di inclusione, ri</w:t>
            </w:r>
            <w:r>
              <w:t xml:space="preserve">corso ad esperti esterni di varia tipologia che vengono in classe, quali gli operatori del Serd per le dipendenze da sostanze, da tecnologie o per il </w:t>
            </w:r>
            <w:r>
              <w:lastRenderedPageBreak/>
              <w:t>gioco d’azzardo), ma anche esperti collegati all’attuazione delle UDA</w:t>
            </w:r>
          </w:p>
          <w:p w:rsidR="00000000" w:rsidRDefault="00D35B7A">
            <w:pPr>
              <w:pStyle w:val="Normale1"/>
            </w:pPr>
            <w:r>
              <w:t>Attività di mentoring (20 ore), SOLO</w:t>
            </w:r>
            <w:r>
              <w:t xml:space="preserve"> per gli alunni a cui è stata indirizzata o si intende indirizzarla da parte del  consiglio di classe</w:t>
            </w:r>
          </w:p>
          <w:p w:rsidR="00000000" w:rsidRDefault="00D35B7A">
            <w:pPr>
              <w:pStyle w:val="Normale1"/>
            </w:pPr>
          </w:p>
          <w:p w:rsidR="00000000" w:rsidRDefault="00D35B7A">
            <w:pPr>
              <w:pStyle w:val="Normale1"/>
              <w:rPr>
                <w:rFonts w:cs="Calibri"/>
                <w:b/>
                <w:color w:val="000000"/>
              </w:rPr>
            </w:pPr>
          </w:p>
        </w:tc>
      </w:tr>
      <w:tr w:rsidR="00000000">
        <w:tc>
          <w:tcPr>
            <w:tcW w:w="4545" w:type="dxa"/>
            <w:tcBorders>
              <w:top w:val="nil"/>
              <w:left w:val="outset" w:sz="6" w:space="0" w:color="auto"/>
              <w:bottom w:val="outset" w:sz="6" w:space="0" w:color="auto"/>
              <w:right w:val="outset" w:sz="6" w:space="0" w:color="auto"/>
            </w:tcBorders>
          </w:tcPr>
          <w:p w:rsidR="00000000" w:rsidRDefault="00D35B7A">
            <w:pPr>
              <w:pStyle w:val="Normale1"/>
              <w:rPr>
                <w:rFonts w:cs="Calibri"/>
                <w:b/>
                <w:color w:val="000000"/>
              </w:rPr>
            </w:pPr>
          </w:p>
          <w:p w:rsidR="00000000" w:rsidRDefault="00D35B7A">
            <w:pPr>
              <w:pStyle w:val="Normale1"/>
              <w:rPr>
                <w:rFonts w:cs="Calibri"/>
                <w:b/>
                <w:color w:val="000000"/>
              </w:rPr>
            </w:pPr>
            <w:r>
              <w:rPr>
                <w:rFonts w:cs="Calibri"/>
                <w:b/>
                <w:color w:val="000000"/>
              </w:rPr>
              <w:t>Attività e/o progetti di orientamento/riorientamento</w:t>
            </w:r>
          </w:p>
          <w:p w:rsidR="00000000" w:rsidRDefault="00D35B7A">
            <w:pPr>
              <w:pStyle w:val="Normale1"/>
              <w:rPr>
                <w:rFonts w:cs="Calibri"/>
                <w:b/>
                <w:color w:val="000000"/>
              </w:rPr>
            </w:pPr>
          </w:p>
        </w:tc>
        <w:tc>
          <w:tcPr>
            <w:tcW w:w="4545" w:type="dxa"/>
            <w:tcBorders>
              <w:top w:val="nil"/>
              <w:left w:val="outset" w:sz="6" w:space="0" w:color="auto"/>
              <w:bottom w:val="outset" w:sz="6" w:space="0" w:color="auto"/>
              <w:right w:val="outset" w:sz="6" w:space="0" w:color="auto"/>
            </w:tcBorders>
          </w:tcPr>
          <w:p w:rsidR="00000000" w:rsidRDefault="00D35B7A">
            <w:pPr>
              <w:pStyle w:val="Normale1"/>
              <w:rPr>
                <w:rFonts w:cs="Calibri"/>
                <w:color w:val="000000"/>
              </w:rPr>
            </w:pPr>
            <w:r>
              <w:rPr>
                <w:rFonts w:cs="Calibri"/>
                <w:color w:val="000000"/>
              </w:rPr>
              <w:t>Sono legati ai vari passaggi tra Iefp o a cambi di indirizzo in itinere</w:t>
            </w:r>
          </w:p>
          <w:p w:rsidR="00000000" w:rsidRDefault="00D35B7A">
            <w:pPr>
              <w:pStyle w:val="Normale1"/>
              <w:rPr>
                <w:b/>
                <w:bCs/>
              </w:rPr>
            </w:pPr>
            <w:r>
              <w:rPr>
                <w:b/>
                <w:bCs/>
              </w:rPr>
              <w:t>Attività di orientamento</w:t>
            </w:r>
            <w:r>
              <w:rPr>
                <w:b/>
                <w:bCs/>
              </w:rPr>
              <w:t xml:space="preserve"> previste dal progetto di istituto</w:t>
            </w:r>
          </w:p>
          <w:p w:rsidR="00000000" w:rsidRDefault="00D35B7A">
            <w:pPr>
              <w:pStyle w:val="Normale1"/>
              <w:rPr>
                <w:rFonts w:cs="Calibri"/>
                <w:color w:val="000000"/>
              </w:rPr>
            </w:pPr>
          </w:p>
        </w:tc>
      </w:tr>
      <w:tr w:rsidR="00000000">
        <w:tc>
          <w:tcPr>
            <w:tcW w:w="4545" w:type="dxa"/>
            <w:tcBorders>
              <w:top w:val="nil"/>
              <w:left w:val="outset" w:sz="6" w:space="0" w:color="auto"/>
              <w:bottom w:val="outset" w:sz="6" w:space="0" w:color="auto"/>
              <w:right w:val="outset" w:sz="6" w:space="0" w:color="auto"/>
            </w:tcBorders>
          </w:tcPr>
          <w:p w:rsidR="00000000" w:rsidRDefault="00D35B7A">
            <w:pPr>
              <w:pStyle w:val="Normale1"/>
              <w:rPr>
                <w:rFonts w:cs="Calibri"/>
                <w:b/>
                <w:color w:val="000000"/>
              </w:rPr>
            </w:pPr>
          </w:p>
          <w:p w:rsidR="00000000" w:rsidRDefault="00D35B7A">
            <w:pPr>
              <w:pStyle w:val="Normale1"/>
              <w:rPr>
                <w:rFonts w:cs="Calibri"/>
                <w:b/>
                <w:color w:val="000000"/>
              </w:rPr>
            </w:pPr>
            <w:r>
              <w:rPr>
                <w:rFonts w:cs="Calibri"/>
                <w:b/>
                <w:color w:val="000000"/>
              </w:rPr>
              <w:t>Attività in ambiente extrascolastico</w:t>
            </w:r>
          </w:p>
          <w:p w:rsidR="00000000" w:rsidRDefault="00D35B7A">
            <w:pPr>
              <w:pStyle w:val="Normale1"/>
              <w:rPr>
                <w:rFonts w:cs="Calibri"/>
                <w:b/>
                <w:color w:val="000000"/>
              </w:rPr>
            </w:pPr>
          </w:p>
        </w:tc>
        <w:tc>
          <w:tcPr>
            <w:tcW w:w="4545" w:type="dxa"/>
            <w:tcBorders>
              <w:top w:val="nil"/>
              <w:left w:val="outset" w:sz="6" w:space="0" w:color="auto"/>
              <w:bottom w:val="outset" w:sz="6" w:space="0" w:color="auto"/>
              <w:right w:val="outset" w:sz="6" w:space="0" w:color="auto"/>
            </w:tcBorders>
          </w:tcPr>
          <w:p w:rsidR="00000000" w:rsidRDefault="00D35B7A">
            <w:pPr>
              <w:pStyle w:val="Normale1"/>
            </w:pPr>
            <w:r>
              <w:t>Partecipazione ad iniziative PCTO, convegni, attività formative, incontri con persone varie, in ambiente extrascolastico, anche in occasione di escursioni didattiche</w:t>
            </w:r>
          </w:p>
          <w:p w:rsidR="00000000" w:rsidRDefault="00D35B7A">
            <w:pPr>
              <w:pStyle w:val="Normale1"/>
            </w:pPr>
          </w:p>
        </w:tc>
      </w:tr>
      <w:tr w:rsidR="00000000">
        <w:tc>
          <w:tcPr>
            <w:tcW w:w="4545" w:type="dxa"/>
            <w:tcBorders>
              <w:top w:val="nil"/>
              <w:left w:val="outset" w:sz="6" w:space="0" w:color="auto"/>
              <w:bottom w:val="outset" w:sz="6" w:space="0" w:color="auto"/>
              <w:right w:val="outset" w:sz="6" w:space="0" w:color="auto"/>
            </w:tcBorders>
          </w:tcPr>
          <w:p w:rsidR="00000000" w:rsidRDefault="00D35B7A">
            <w:pPr>
              <w:pStyle w:val="Normale1"/>
              <w:rPr>
                <w:rFonts w:cs="Calibri"/>
                <w:b/>
                <w:color w:val="000000"/>
              </w:rPr>
            </w:pPr>
          </w:p>
          <w:p w:rsidR="00000000" w:rsidRDefault="00D35B7A">
            <w:pPr>
              <w:pStyle w:val="Normale1"/>
              <w:rPr>
                <w:rFonts w:cs="Calibri"/>
                <w:b/>
                <w:color w:val="000000"/>
              </w:rPr>
            </w:pPr>
            <w:r>
              <w:rPr>
                <w:rFonts w:cs="Calibri"/>
                <w:b/>
                <w:color w:val="000000"/>
              </w:rPr>
              <w:t>Alfabetizza</w:t>
            </w:r>
            <w:r>
              <w:rPr>
                <w:rFonts w:cs="Calibri"/>
                <w:b/>
                <w:color w:val="000000"/>
              </w:rPr>
              <w:t>zione italiano L2</w:t>
            </w:r>
          </w:p>
          <w:p w:rsidR="00000000" w:rsidRDefault="00D35B7A">
            <w:pPr>
              <w:pStyle w:val="Normale1"/>
              <w:rPr>
                <w:rFonts w:cs="Calibri"/>
                <w:color w:val="000000"/>
              </w:rPr>
            </w:pPr>
            <w:r>
              <w:rPr>
                <w:rFonts w:cs="Calibri"/>
                <w:color w:val="000000"/>
              </w:rPr>
              <w:t>(solo per alunni di madre lingua non italiana)</w:t>
            </w:r>
          </w:p>
          <w:p w:rsidR="00000000" w:rsidRDefault="00D35B7A">
            <w:pPr>
              <w:pStyle w:val="Normale1"/>
              <w:rPr>
                <w:rFonts w:cs="Calibri"/>
                <w:color w:val="000000"/>
              </w:rPr>
            </w:pPr>
          </w:p>
        </w:tc>
        <w:tc>
          <w:tcPr>
            <w:tcW w:w="4545" w:type="dxa"/>
            <w:tcBorders>
              <w:top w:val="nil"/>
              <w:left w:val="outset" w:sz="6" w:space="0" w:color="auto"/>
              <w:bottom w:val="outset" w:sz="6" w:space="0" w:color="auto"/>
              <w:right w:val="outset" w:sz="6" w:space="0" w:color="auto"/>
            </w:tcBorders>
          </w:tcPr>
          <w:p w:rsidR="00000000" w:rsidRDefault="00D35B7A">
            <w:pPr>
              <w:pStyle w:val="Normale1"/>
              <w:rPr>
                <w:rFonts w:cs="Calibri"/>
                <w:color w:val="000000"/>
              </w:rPr>
            </w:pPr>
            <w:r>
              <w:rPr>
                <w:rFonts w:cs="Calibri"/>
                <w:color w:val="000000"/>
              </w:rPr>
              <w:t>Attenzione! Solo per alunni di madre lingua non italiana e mediante apposito progetto. Il docente specializzato va cercato prioritariamente tra quelli presenti a scuola</w:t>
            </w:r>
          </w:p>
        </w:tc>
      </w:tr>
    </w:tbl>
    <w:p w:rsidR="00000000" w:rsidRDefault="00D35B7A">
      <w:pPr>
        <w:pStyle w:val="Paragrafoelenco"/>
      </w:pPr>
    </w:p>
    <w:p w:rsidR="00D35B7A" w:rsidRDefault="00D35B7A">
      <w:pPr>
        <w:pStyle w:val="Paragrafoelenco"/>
      </w:pPr>
      <w:r>
        <w:t xml:space="preserve">           N.b. Tra</w:t>
      </w:r>
      <w:r>
        <w:t xml:space="preserve">ttandosi di personalizzazione, il numero delle ore di ciascun riquadro, dove non esplicitamente indicato, è da attribuirsi avendo cura di non superare il tetto del biennio (132 ore annuali)  </w:t>
      </w:r>
      <w:r>
        <w:t>e quello del triennio (idem)</w:t>
      </w:r>
      <w:r>
        <w:t xml:space="preserve">    </w:t>
      </w:r>
    </w:p>
    <w:sectPr w:rsidR="00D35B7A">
      <w:pgSz w:w="11906" w:h="16838"/>
      <w:pgMar w:top="1417" w:right="1134"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E7D"/>
    <w:multiLevelType w:val="multilevel"/>
    <w:tmpl w:val="05DB5E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noPunctuationKerning/>
  <w:characterSpacingControl w:val="doNotCompress"/>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7A"/>
    <w:rsid w:val="000B620D"/>
    <w:rsid w:val="003B730C"/>
    <w:rsid w:val="004535AC"/>
    <w:rsid w:val="004C4E70"/>
    <w:rsid w:val="00561F30"/>
    <w:rsid w:val="006C2EFD"/>
    <w:rsid w:val="00783904"/>
    <w:rsid w:val="00811F93"/>
    <w:rsid w:val="009631E3"/>
    <w:rsid w:val="009855F1"/>
    <w:rsid w:val="0099270A"/>
    <w:rsid w:val="009B5363"/>
    <w:rsid w:val="00A5350A"/>
    <w:rsid w:val="00B172DC"/>
    <w:rsid w:val="00CE7B6C"/>
    <w:rsid w:val="00D34875"/>
    <w:rsid w:val="00D35B7A"/>
    <w:rsid w:val="00D94E8D"/>
    <w:rsid w:val="00EA03B3"/>
    <w:rsid w:val="0A62309E"/>
    <w:rsid w:val="0FB87FF2"/>
    <w:rsid w:val="1BBE0A14"/>
    <w:rsid w:val="29672BF9"/>
    <w:rsid w:val="4F5C31D6"/>
    <w:rsid w:val="620D30C4"/>
    <w:rsid w:val="66616B07"/>
    <w:rsid w:val="68371482"/>
    <w:rsid w:val="6CCA0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7177-894A-4E45-9015-A91E0398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rFonts w:ascii="Calibri" w:eastAsia="Calibri" w:hAnsi="Calibri"/>
      <w:sz w:val="22"/>
      <w:szCs w:val="22"/>
      <w:lang w:eastAsia="en-US"/>
    </w:rPr>
  </w:style>
  <w:style w:type="character" w:default="1" w:styleId="Carpredefinitoparagrafo">
    <w:name w:val="Default Paragraph Font"/>
    <w:uiPriority w:val="1"/>
    <w:unhideWhenUsed/>
    <w:qFormat/>
  </w:style>
  <w:style w:type="table" w:default="1" w:styleId="Tabellanormale">
    <w:name w:val="Normal Table"/>
    <w:uiPriority w:val="99"/>
    <w:unhideWhenUsed/>
    <w:qFormat/>
    <w:tblPr>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customStyle="1" w:styleId="Normale1">
    <w:name w:val="Normale1"/>
    <w:qFormat/>
    <w:pPr>
      <w:spacing w:before="100" w:beforeAutospacing="1" w:after="100" w:afterAutospacing="1" w:line="256" w:lineRule="auto"/>
    </w:pPr>
    <w:rPr>
      <w:rFonts w:ascii="Calibri" w:eastAsia="Times New Roman" w:hAnsi="Calibri"/>
      <w:sz w:val="24"/>
      <w:szCs w:val="24"/>
    </w:rPr>
  </w:style>
  <w:style w:type="table" w:customStyle="1" w:styleId="Grigliatabella1">
    <w:name w:val="Griglia tabella1"/>
    <w:basedOn w:val="Tabellanormale"/>
    <w:qFormat/>
    <w:rPr>
      <w:rFonts w:eastAsia="Times New Roman"/>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ide\Downloads\Note%20per%20la%20compilazione%20PFI%20%20(1)%2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 per la compilazione PFI  (1) (2).dot</Template>
  <TotalTime>1</TotalTime>
  <Pages>3</Pages>
  <Words>753</Words>
  <Characters>5103</Characters>
  <Application>Microsoft Office Word</Application>
  <DocSecurity>0</DocSecurity>
  <Lines>150</Lines>
  <Paragraphs>90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cp:lastModifiedBy>Preside</cp:lastModifiedBy>
  <cp:revision>1</cp:revision>
  <dcterms:created xsi:type="dcterms:W3CDTF">2024-01-10T10:03:00Z</dcterms:created>
  <dcterms:modified xsi:type="dcterms:W3CDTF">2024-01-10T10:04:00Z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8BECF9CF17D24A9BB376A948683A1348_13</vt:lpwstr>
  </property>
</Properties>
</file>